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1EBE" w14:textId="469EF593" w:rsidR="000A7234" w:rsidRDefault="00773395">
      <w:r w:rsidRPr="000A7234">
        <w:rPr>
          <w:noProof/>
        </w:rPr>
        <w:drawing>
          <wp:anchor distT="0" distB="0" distL="114300" distR="114300" simplePos="0" relativeHeight="251658240" behindDoc="0" locked="0" layoutInCell="1" allowOverlap="1" wp14:anchorId="15A9753E" wp14:editId="51CDCE9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342515" cy="883285"/>
            <wp:effectExtent l="0" t="0" r="0" b="5715"/>
            <wp:wrapSquare wrapText="bothSides"/>
            <wp:docPr id="522948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948644" name="Picture 5229486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2374A" w14:textId="091859B9" w:rsidR="000A7234" w:rsidRDefault="000A7234"/>
    <w:p w14:paraId="66C355B4" w14:textId="5D597BC1" w:rsidR="000A7234" w:rsidRDefault="000A7234"/>
    <w:p w14:paraId="33513DD9" w14:textId="4FC89883" w:rsidR="000A7234" w:rsidRDefault="000A7234"/>
    <w:p w14:paraId="7A73D0AD" w14:textId="169BA394" w:rsidR="000A7234" w:rsidRDefault="000A7234"/>
    <w:p w14:paraId="13B9FAAA" w14:textId="77777777" w:rsidR="000A7234" w:rsidRDefault="000A7234"/>
    <w:p w14:paraId="79DB843F" w14:textId="305386C5" w:rsidR="004B007B" w:rsidRPr="004B007B" w:rsidRDefault="000A7234" w:rsidP="000A7234">
      <w:pPr>
        <w:jc w:val="center"/>
        <w:rPr>
          <w:rFonts w:ascii="Poppins" w:hAnsi="Poppins" w:cs="Poppins"/>
          <w:b/>
          <w:bCs/>
          <w:noProof/>
          <w:color w:val="84319B"/>
          <w:sz w:val="28"/>
          <w:szCs w:val="28"/>
        </w:rPr>
      </w:pPr>
      <w:r w:rsidRPr="004B007B">
        <w:rPr>
          <w:rFonts w:ascii="Poppins" w:hAnsi="Poppins" w:cs="Poppins"/>
          <w:b/>
          <w:bCs/>
          <w:color w:val="84319B"/>
          <w:sz w:val="28"/>
          <w:szCs w:val="28"/>
        </w:rPr>
        <w:t>Attendance Planning Guide: 2025 PLA National Conference</w:t>
      </w:r>
    </w:p>
    <w:p w14:paraId="030E0F7E" w14:textId="572A9A87" w:rsidR="004B007B" w:rsidRDefault="00513A45" w:rsidP="00513A45">
      <w:pPr>
        <w:jc w:val="center"/>
        <w:rPr>
          <w:rStyle w:val="relative"/>
          <w:sz w:val="20"/>
          <w:szCs w:val="20"/>
        </w:rPr>
      </w:pPr>
      <w:r w:rsidRPr="004B007B">
        <w:rPr>
          <w:rStyle w:val="relative"/>
          <w:sz w:val="20"/>
          <w:szCs w:val="20"/>
        </w:rPr>
        <w:t>Use this guide to articulate the value of attending the 2025 Parks and Leisure Australia (PLA) National Conference</w:t>
      </w:r>
      <w:r>
        <w:rPr>
          <w:rStyle w:val="relative"/>
          <w:sz w:val="20"/>
          <w:szCs w:val="20"/>
        </w:rPr>
        <w:t xml:space="preserve"> to your </w:t>
      </w:r>
      <w:proofErr w:type="gramStart"/>
      <w:r>
        <w:rPr>
          <w:rStyle w:val="relative"/>
          <w:sz w:val="20"/>
          <w:szCs w:val="20"/>
        </w:rPr>
        <w:t>work place</w:t>
      </w:r>
      <w:proofErr w:type="gramEnd"/>
      <w:r w:rsidRPr="004B007B">
        <w:rPr>
          <w:rStyle w:val="relative"/>
          <w:sz w:val="20"/>
          <w:szCs w:val="20"/>
        </w:rPr>
        <w:t>.</w:t>
      </w:r>
      <w:r w:rsidRPr="004B007B">
        <w:rPr>
          <w:sz w:val="20"/>
          <w:szCs w:val="20"/>
        </w:rPr>
        <w:t xml:space="preserve"> </w:t>
      </w:r>
      <w:r>
        <w:rPr>
          <w:rStyle w:val="relative"/>
          <w:sz w:val="20"/>
          <w:szCs w:val="20"/>
        </w:rPr>
        <w:t>This tool kit is designed</w:t>
      </w:r>
      <w:r w:rsidRPr="004B007B">
        <w:rPr>
          <w:rStyle w:val="relative"/>
          <w:sz w:val="20"/>
          <w:szCs w:val="20"/>
        </w:rPr>
        <w:t xml:space="preserve"> to</w:t>
      </w:r>
      <w:r>
        <w:rPr>
          <w:rStyle w:val="relative"/>
          <w:sz w:val="20"/>
          <w:szCs w:val="20"/>
        </w:rPr>
        <w:t xml:space="preserve"> help you provide</w:t>
      </w:r>
      <w:r w:rsidRPr="004B007B">
        <w:rPr>
          <w:rStyle w:val="relative"/>
          <w:sz w:val="20"/>
          <w:szCs w:val="20"/>
        </w:rPr>
        <w:t xml:space="preserve"> estimate costs, outline benefits, and present a compelling case for your participation.</w:t>
      </w:r>
    </w:p>
    <w:p w14:paraId="289DA5CB" w14:textId="77777777" w:rsidR="00513A45" w:rsidRDefault="00513A45" w:rsidP="00513A45">
      <w:pPr>
        <w:jc w:val="center"/>
        <w:rPr>
          <w:rStyle w:val="relative"/>
          <w:sz w:val="20"/>
          <w:szCs w:val="20"/>
        </w:rPr>
      </w:pPr>
    </w:p>
    <w:p w14:paraId="4C751B4D" w14:textId="77777777" w:rsidR="004B007B" w:rsidRDefault="004B007B" w:rsidP="004B007B">
      <w:pPr>
        <w:rPr>
          <w:rFonts w:ascii="Poppins" w:hAnsi="Poppins" w:cs="Poppins"/>
          <w:color w:val="84319B"/>
          <w:sz w:val="21"/>
          <w:szCs w:val="21"/>
        </w:rPr>
      </w:pPr>
      <w:r w:rsidRPr="004B007B">
        <w:rPr>
          <w:rFonts w:ascii="Poppins" w:hAnsi="Poppins" w:cs="Poppins"/>
          <w:color w:val="84319B"/>
          <w:sz w:val="21"/>
          <w:szCs w:val="21"/>
        </w:rPr>
        <w:t>Why Attend the 2025 PLA National Conference?</w:t>
      </w:r>
    </w:p>
    <w:p w14:paraId="4088648A" w14:textId="5212AB8F" w:rsidR="003B5B2C" w:rsidRDefault="00BB710E" w:rsidP="003B5B2C">
      <w:pPr>
        <w:rPr>
          <w:rFonts w:ascii="Calibri" w:hAnsi="Calibri" w:cs="Calibri"/>
          <w:color w:val="000000"/>
          <w:sz w:val="20"/>
          <w:szCs w:val="20"/>
        </w:rPr>
      </w:pPr>
      <w:r w:rsidRPr="00BB5690">
        <w:rPr>
          <w:rFonts w:ascii="Calibri" w:hAnsi="Calibri" w:cs="Calibri"/>
          <w:color w:val="000000"/>
          <w:sz w:val="20"/>
          <w:szCs w:val="20"/>
        </w:rPr>
        <w:t xml:space="preserve">The PLA National Conference is the </w:t>
      </w:r>
      <w:r>
        <w:rPr>
          <w:rFonts w:ascii="Calibri" w:hAnsi="Calibri" w:cs="Calibri"/>
          <w:color w:val="000000"/>
          <w:sz w:val="20"/>
          <w:szCs w:val="20"/>
        </w:rPr>
        <w:t xml:space="preserve">premier </w:t>
      </w:r>
      <w:r w:rsidRPr="00BB5690">
        <w:rPr>
          <w:rFonts w:ascii="Calibri" w:hAnsi="Calibri" w:cs="Calibri"/>
          <w:color w:val="000000"/>
          <w:sz w:val="20"/>
          <w:szCs w:val="20"/>
        </w:rPr>
        <w:t xml:space="preserve">event for professionals </w:t>
      </w:r>
      <w:r>
        <w:rPr>
          <w:rFonts w:ascii="Calibri" w:hAnsi="Calibri" w:cs="Calibri"/>
          <w:color w:val="000000"/>
          <w:sz w:val="20"/>
          <w:szCs w:val="20"/>
        </w:rPr>
        <w:t>representing</w:t>
      </w:r>
      <w:r w:rsidRPr="00BB5690">
        <w:rPr>
          <w:rFonts w:ascii="Calibri" w:hAnsi="Calibri" w:cs="Calibri"/>
          <w:color w:val="000000"/>
          <w:sz w:val="20"/>
          <w:szCs w:val="20"/>
        </w:rPr>
        <w:t xml:space="preserve"> parks, leisure, sport, and </w:t>
      </w:r>
      <w:r>
        <w:rPr>
          <w:rFonts w:ascii="Calibri" w:hAnsi="Calibri" w:cs="Calibri"/>
          <w:color w:val="000000"/>
          <w:sz w:val="20"/>
          <w:szCs w:val="20"/>
        </w:rPr>
        <w:t xml:space="preserve">facilities management industries </w:t>
      </w:r>
      <w:r w:rsidRPr="007F75A4">
        <w:rPr>
          <w:rFonts w:ascii="Calibri" w:hAnsi="Calibri" w:cs="Calibri"/>
          <w:color w:val="000000"/>
          <w:sz w:val="20"/>
          <w:szCs w:val="20"/>
        </w:rPr>
        <w:t>across</w:t>
      </w:r>
      <w:r w:rsidRPr="00BB5690">
        <w:rPr>
          <w:rFonts w:ascii="Calibri" w:hAnsi="Calibri" w:cs="Calibri"/>
          <w:color w:val="000000"/>
          <w:sz w:val="20"/>
          <w:szCs w:val="20"/>
        </w:rPr>
        <w:t xml:space="preserve"> Australia. This year</w:t>
      </w:r>
      <w:r>
        <w:rPr>
          <w:rFonts w:ascii="Calibri" w:hAnsi="Calibri" w:cs="Calibri"/>
          <w:color w:val="000000"/>
          <w:sz w:val="20"/>
          <w:szCs w:val="20"/>
        </w:rPr>
        <w:t>’</w:t>
      </w:r>
      <w:r w:rsidRPr="00BB5690">
        <w:rPr>
          <w:rFonts w:ascii="Calibri" w:hAnsi="Calibri" w:cs="Calibri"/>
          <w:color w:val="000000"/>
          <w:sz w:val="20"/>
          <w:szCs w:val="20"/>
        </w:rPr>
        <w:t>s conference, held in Hobart, Tasmania, marks the beginning of celebrations leading into Parks &amp; Leisure Australia</w:t>
      </w:r>
      <w:r>
        <w:rPr>
          <w:rFonts w:ascii="Calibri" w:hAnsi="Calibri" w:cs="Calibri"/>
          <w:color w:val="000000"/>
          <w:sz w:val="20"/>
          <w:szCs w:val="20"/>
        </w:rPr>
        <w:t>’</w:t>
      </w:r>
      <w:r w:rsidRPr="00BB5690">
        <w:rPr>
          <w:rFonts w:ascii="Calibri" w:hAnsi="Calibri" w:cs="Calibri"/>
          <w:color w:val="000000"/>
          <w:sz w:val="20"/>
          <w:szCs w:val="20"/>
        </w:rPr>
        <w:t xml:space="preserve">s 100th anniversary in 2026 </w:t>
      </w:r>
      <w:r w:rsidRPr="00BB5690">
        <w:rPr>
          <w:rFonts w:ascii="Calibri" w:hAnsi="Calibri" w:cs="Calibri" w:hint="eastAsia"/>
          <w:color w:val="000000"/>
          <w:sz w:val="20"/>
          <w:szCs w:val="20"/>
        </w:rPr>
        <w:t>—</w:t>
      </w:r>
      <w:r w:rsidRPr="00BB5690">
        <w:rPr>
          <w:rFonts w:ascii="Calibri" w:hAnsi="Calibri" w:cs="Calibri"/>
          <w:color w:val="000000"/>
          <w:sz w:val="20"/>
          <w:szCs w:val="20"/>
        </w:rPr>
        <w:t xml:space="preserve"> a moment to reflect on our legacy, reimagine the future, and create lasting impact across our industry.</w:t>
      </w:r>
    </w:p>
    <w:p w14:paraId="19DCEF0A" w14:textId="77777777" w:rsidR="00BB710E" w:rsidRDefault="00BB710E" w:rsidP="003B5B2C">
      <w:pPr>
        <w:rPr>
          <w:rStyle w:val="ms-1"/>
          <w:rFonts w:cstheme="minorHAnsi"/>
          <w:sz w:val="20"/>
          <w:szCs w:val="20"/>
        </w:rPr>
      </w:pPr>
    </w:p>
    <w:p w14:paraId="467555A3" w14:textId="77777777" w:rsidR="003B5B2C" w:rsidRDefault="004B007B" w:rsidP="003B5B2C">
      <w:pPr>
        <w:rPr>
          <w:rStyle w:val="Strong"/>
          <w:rFonts w:cstheme="minorHAnsi"/>
          <w:sz w:val="20"/>
          <w:szCs w:val="20"/>
        </w:rPr>
      </w:pPr>
      <w:r w:rsidRPr="004B007B">
        <w:rPr>
          <w:rStyle w:val="Strong"/>
          <w:rFonts w:cstheme="minorHAnsi"/>
          <w:sz w:val="20"/>
          <w:szCs w:val="20"/>
        </w:rPr>
        <w:t>Key Benefits:</w:t>
      </w:r>
    </w:p>
    <w:p w14:paraId="41F93421" w14:textId="6ECA0F49" w:rsidR="003B5B2C" w:rsidRPr="003B5B2C" w:rsidRDefault="004B007B" w:rsidP="003B5B2C">
      <w:pPr>
        <w:pStyle w:val="ListParagraph"/>
        <w:numPr>
          <w:ilvl w:val="0"/>
          <w:numId w:val="2"/>
        </w:numPr>
        <w:rPr>
          <w:rStyle w:val="ms-1"/>
          <w:rFonts w:cstheme="minorHAnsi"/>
          <w:sz w:val="20"/>
          <w:szCs w:val="20"/>
        </w:rPr>
      </w:pPr>
      <w:r w:rsidRPr="003B5B2C">
        <w:rPr>
          <w:rStyle w:val="Strong"/>
          <w:rFonts w:cstheme="minorHAnsi"/>
          <w:sz w:val="20"/>
          <w:szCs w:val="20"/>
        </w:rPr>
        <w:t>Professional Development:</w:t>
      </w:r>
      <w:r w:rsidRPr="003B5B2C">
        <w:rPr>
          <w:rFonts w:cstheme="minorHAnsi"/>
          <w:sz w:val="20"/>
          <w:szCs w:val="20"/>
        </w:rPr>
        <w:t xml:space="preserve"> </w:t>
      </w:r>
      <w:r w:rsidRPr="003B5B2C">
        <w:rPr>
          <w:rStyle w:val="relative"/>
          <w:rFonts w:cstheme="minorHAnsi"/>
          <w:sz w:val="20"/>
          <w:szCs w:val="20"/>
        </w:rPr>
        <w:t>Engage with industry leaders through diverse educational sessions and workshops, gaining insights into best practices and emerging trends.</w:t>
      </w:r>
    </w:p>
    <w:p w14:paraId="1082209E" w14:textId="6152F572" w:rsidR="003B5B2C" w:rsidRPr="003B5B2C" w:rsidRDefault="004B007B" w:rsidP="003B5B2C">
      <w:pPr>
        <w:pStyle w:val="ListParagraph"/>
        <w:numPr>
          <w:ilvl w:val="0"/>
          <w:numId w:val="2"/>
        </w:numPr>
        <w:rPr>
          <w:rStyle w:val="relative"/>
          <w:rFonts w:cstheme="minorHAnsi"/>
          <w:sz w:val="20"/>
          <w:szCs w:val="20"/>
        </w:rPr>
      </w:pPr>
      <w:r w:rsidRPr="003B5B2C">
        <w:rPr>
          <w:rStyle w:val="Strong"/>
          <w:rFonts w:cstheme="minorHAnsi"/>
          <w:sz w:val="20"/>
          <w:szCs w:val="20"/>
        </w:rPr>
        <w:t>Networking Opportunities:</w:t>
      </w:r>
      <w:r w:rsidRPr="003B5B2C">
        <w:rPr>
          <w:rFonts w:cstheme="minorHAnsi"/>
          <w:sz w:val="20"/>
          <w:szCs w:val="20"/>
        </w:rPr>
        <w:t xml:space="preserve"> </w:t>
      </w:r>
      <w:r w:rsidRPr="003B5B2C">
        <w:rPr>
          <w:rStyle w:val="relative"/>
          <w:rFonts w:cstheme="minorHAnsi"/>
          <w:sz w:val="20"/>
          <w:szCs w:val="20"/>
        </w:rPr>
        <w:t>Connect with peers, leaders, and vendors from across the country, fostering collaborations and partnerships that can benefit your organization.</w:t>
      </w:r>
    </w:p>
    <w:p w14:paraId="52BDE463" w14:textId="5B532074" w:rsidR="003B5B2C" w:rsidRPr="003B5B2C" w:rsidRDefault="004B007B" w:rsidP="003B5B2C">
      <w:pPr>
        <w:pStyle w:val="ListParagraph"/>
        <w:numPr>
          <w:ilvl w:val="0"/>
          <w:numId w:val="2"/>
        </w:numPr>
        <w:rPr>
          <w:rStyle w:val="ms-1"/>
          <w:rFonts w:cstheme="minorHAnsi"/>
          <w:sz w:val="20"/>
          <w:szCs w:val="20"/>
        </w:rPr>
      </w:pPr>
      <w:r w:rsidRPr="003B5B2C">
        <w:rPr>
          <w:rStyle w:val="Strong"/>
          <w:rFonts w:cstheme="minorHAnsi"/>
          <w:sz w:val="20"/>
          <w:szCs w:val="20"/>
        </w:rPr>
        <w:t>Innovative Solutions:</w:t>
      </w:r>
      <w:r w:rsidRPr="003B5B2C">
        <w:rPr>
          <w:rFonts w:cstheme="minorHAnsi"/>
          <w:sz w:val="20"/>
          <w:szCs w:val="20"/>
        </w:rPr>
        <w:t xml:space="preserve"> </w:t>
      </w:r>
      <w:r w:rsidRPr="003B5B2C">
        <w:rPr>
          <w:rStyle w:val="relative"/>
          <w:rFonts w:cstheme="minorHAnsi"/>
          <w:sz w:val="20"/>
          <w:szCs w:val="20"/>
        </w:rPr>
        <w:t>Explore the latest products, technologies, and strategies showcased in the exhibit hall, providing inspiration and ideas for improving your operations.</w:t>
      </w:r>
      <w:r w:rsidR="00D90BDD" w:rsidRPr="003B5B2C">
        <w:rPr>
          <w:rStyle w:val="ms-1"/>
          <w:rFonts w:cstheme="minorHAnsi"/>
          <w:sz w:val="20"/>
          <w:szCs w:val="20"/>
        </w:rPr>
        <w:t xml:space="preserve"> </w:t>
      </w:r>
    </w:p>
    <w:p w14:paraId="71D0196E" w14:textId="04A87035" w:rsidR="003B5B2C" w:rsidRPr="003B5B2C" w:rsidRDefault="004B007B" w:rsidP="003B5B2C">
      <w:pPr>
        <w:pStyle w:val="ListParagraph"/>
        <w:numPr>
          <w:ilvl w:val="0"/>
          <w:numId w:val="2"/>
        </w:numPr>
        <w:rPr>
          <w:rStyle w:val="relative"/>
          <w:rFonts w:cstheme="minorHAnsi"/>
          <w:sz w:val="20"/>
          <w:szCs w:val="20"/>
        </w:rPr>
      </w:pPr>
      <w:r w:rsidRPr="003B5B2C">
        <w:rPr>
          <w:rStyle w:val="Strong"/>
          <w:rFonts w:cstheme="minorHAnsi"/>
          <w:sz w:val="20"/>
          <w:szCs w:val="20"/>
        </w:rPr>
        <w:t>Community Impact:</w:t>
      </w:r>
      <w:r w:rsidRPr="003B5B2C">
        <w:rPr>
          <w:rFonts w:cstheme="minorHAnsi"/>
          <w:sz w:val="20"/>
          <w:szCs w:val="20"/>
        </w:rPr>
        <w:t xml:space="preserve"> </w:t>
      </w:r>
      <w:r w:rsidRPr="003B5B2C">
        <w:rPr>
          <w:rStyle w:val="relative"/>
          <w:rFonts w:cstheme="minorHAnsi"/>
          <w:sz w:val="20"/>
          <w:szCs w:val="20"/>
        </w:rPr>
        <w:t>Learn strategies focused on community engagement, health and well-being initiatives, and inclusivity to better serve your community.</w:t>
      </w:r>
    </w:p>
    <w:p w14:paraId="27FD7267" w14:textId="1B9BAAE0" w:rsidR="003B5B2C" w:rsidRDefault="003B5B2C" w:rsidP="003B5B2C">
      <w:pPr>
        <w:rPr>
          <w:rStyle w:val="relative"/>
          <w:rFonts w:ascii="Poppins" w:hAnsi="Poppins" w:cs="Poppins"/>
        </w:rPr>
      </w:pPr>
    </w:p>
    <w:p w14:paraId="394751B5" w14:textId="77777777" w:rsidR="003B5B2C" w:rsidRPr="003B5B2C" w:rsidRDefault="00E9024B" w:rsidP="003B5B2C">
      <w:pPr>
        <w:rPr>
          <w:rFonts w:ascii="Poppins" w:hAnsi="Poppins" w:cs="Poppins"/>
          <w:color w:val="84319B"/>
          <w:sz w:val="20"/>
          <w:szCs w:val="20"/>
        </w:rPr>
      </w:pPr>
      <w:r w:rsidRPr="003B5B2C">
        <w:rPr>
          <w:rFonts w:ascii="Poppins" w:eastAsia="Times New Roman" w:hAnsi="Poppins" w:cs="Poppins"/>
          <w:color w:val="84319B"/>
          <w:kern w:val="0"/>
          <w:sz w:val="21"/>
          <w:szCs w:val="21"/>
          <w:lang w:eastAsia="en-GB"/>
          <w14:ligatures w14:val="none"/>
        </w:rPr>
        <w:t>Estimated Attendance Costs</w:t>
      </w:r>
    </w:p>
    <w:p w14:paraId="3FF36D7D" w14:textId="77777777" w:rsidR="003B5B2C" w:rsidRDefault="00E9024B" w:rsidP="003B5B2C">
      <w:pP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3B5B2C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Use the table below to estimate the costs associated with attending the conference:</w:t>
      </w:r>
    </w:p>
    <w:p w14:paraId="12F029DF" w14:textId="60F33524" w:rsidR="003B5B2C" w:rsidRDefault="003B5B2C" w:rsidP="003B5B2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8"/>
        <w:gridCol w:w="3540"/>
        <w:gridCol w:w="3458"/>
      </w:tblGrid>
      <w:tr w:rsidR="003B5B2C" w14:paraId="18DF9BC2" w14:textId="77777777" w:rsidTr="76702886">
        <w:tc>
          <w:tcPr>
            <w:tcW w:w="3485" w:type="dxa"/>
          </w:tcPr>
          <w:p w14:paraId="53C2CC2D" w14:textId="2B6F225D" w:rsidR="003B5B2C" w:rsidRDefault="00C37FB0" w:rsidP="003B5B2C">
            <w:pPr>
              <w:rPr>
                <w:rFonts w:cstheme="minorHAnsi"/>
              </w:rPr>
            </w:pPr>
            <w:r>
              <w:rPr>
                <w:rFonts w:cstheme="minorHAnsi"/>
              </w:rPr>
              <w:t>Expense Category</w:t>
            </w:r>
          </w:p>
        </w:tc>
        <w:tc>
          <w:tcPr>
            <w:tcW w:w="3485" w:type="dxa"/>
          </w:tcPr>
          <w:p w14:paraId="731FC112" w14:textId="50C02446" w:rsidR="003B5B2C" w:rsidRDefault="00C37FB0" w:rsidP="003B5B2C">
            <w:pPr>
              <w:rPr>
                <w:rFonts w:cstheme="minorHAnsi"/>
              </w:rPr>
            </w:pPr>
            <w:r>
              <w:rPr>
                <w:rFonts w:cstheme="minorHAnsi"/>
              </w:rPr>
              <w:t>Estimated Cost (AUD)</w:t>
            </w:r>
          </w:p>
        </w:tc>
        <w:tc>
          <w:tcPr>
            <w:tcW w:w="3486" w:type="dxa"/>
          </w:tcPr>
          <w:p w14:paraId="243ED0DE" w14:textId="7CA8BD9F" w:rsidR="003B5B2C" w:rsidRDefault="00C37FB0" w:rsidP="003B5B2C">
            <w:pPr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</w:p>
        </w:tc>
      </w:tr>
      <w:tr w:rsidR="003B5B2C" w14:paraId="3B33BB80" w14:textId="77777777" w:rsidTr="76702886">
        <w:tc>
          <w:tcPr>
            <w:tcW w:w="3485" w:type="dxa"/>
          </w:tcPr>
          <w:p w14:paraId="5567236A" w14:textId="7DA0435D" w:rsidR="003B5B2C" w:rsidRPr="005A22D2" w:rsidRDefault="00C37FB0" w:rsidP="003B5B2C">
            <w:pPr>
              <w:rPr>
                <w:rFonts w:cstheme="minorHAnsi"/>
                <w:sz w:val="20"/>
                <w:szCs w:val="20"/>
              </w:rPr>
            </w:pPr>
            <w:r w:rsidRPr="005A22D2">
              <w:rPr>
                <w:rFonts w:cstheme="minorHAnsi"/>
                <w:sz w:val="20"/>
                <w:szCs w:val="20"/>
              </w:rPr>
              <w:t>Conference Registration</w:t>
            </w:r>
          </w:p>
        </w:tc>
        <w:tc>
          <w:tcPr>
            <w:tcW w:w="3485" w:type="dxa"/>
          </w:tcPr>
          <w:p w14:paraId="70C66D5A" w14:textId="3AF3A4E0" w:rsidR="003B5B2C" w:rsidRPr="005A22D2" w:rsidRDefault="00000000" w:rsidP="76702886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hyperlink r:id="rId9">
              <w:r w:rsidR="56A45B08" w:rsidRPr="76702886">
                <w:rPr>
                  <w:rStyle w:val="Hyperlink"/>
                  <w:sz w:val="20"/>
                  <w:szCs w:val="20"/>
                </w:rPr>
                <w:t>https://parksleisure.com.au/event/2025-pla-national-conference/</w:t>
              </w:r>
            </w:hyperlink>
            <w:r w:rsidR="56A45B08" w:rsidRPr="76702886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486" w:type="dxa"/>
          </w:tcPr>
          <w:p w14:paraId="075DF95B" w14:textId="3931C4DB" w:rsidR="003B5B2C" w:rsidRPr="005A22D2" w:rsidRDefault="00C37FB0" w:rsidP="003B5B2C">
            <w:pPr>
              <w:rPr>
                <w:rFonts w:cstheme="minorHAnsi"/>
                <w:sz w:val="20"/>
                <w:szCs w:val="20"/>
              </w:rPr>
            </w:pPr>
            <w:r w:rsidRPr="005A22D2">
              <w:rPr>
                <w:sz w:val="20"/>
                <w:szCs w:val="20"/>
              </w:rPr>
              <w:t>Refer to PLA's registration page for current rates.</w:t>
            </w:r>
          </w:p>
        </w:tc>
      </w:tr>
      <w:tr w:rsidR="003B5B2C" w14:paraId="4FAD8F94" w14:textId="77777777" w:rsidTr="76702886">
        <w:tc>
          <w:tcPr>
            <w:tcW w:w="3485" w:type="dxa"/>
          </w:tcPr>
          <w:p w14:paraId="4AACF41E" w14:textId="405D4D21" w:rsidR="003B5B2C" w:rsidRPr="005A22D2" w:rsidRDefault="00C37FB0" w:rsidP="003B5B2C">
            <w:pPr>
              <w:rPr>
                <w:rFonts w:cstheme="minorHAnsi"/>
                <w:sz w:val="20"/>
                <w:szCs w:val="20"/>
              </w:rPr>
            </w:pPr>
            <w:r w:rsidRPr="005A22D2">
              <w:rPr>
                <w:rFonts w:cstheme="minorHAnsi"/>
                <w:sz w:val="20"/>
                <w:szCs w:val="20"/>
              </w:rPr>
              <w:t>Airfare</w:t>
            </w:r>
          </w:p>
        </w:tc>
        <w:tc>
          <w:tcPr>
            <w:tcW w:w="3485" w:type="dxa"/>
          </w:tcPr>
          <w:p w14:paraId="681DFBD6" w14:textId="5E024DCA" w:rsidR="003B5B2C" w:rsidRPr="005A22D2" w:rsidRDefault="005A22D2" w:rsidP="003B5B2C">
            <w:pPr>
              <w:rPr>
                <w:rFonts w:cstheme="minorHAnsi"/>
                <w:sz w:val="20"/>
                <w:szCs w:val="20"/>
              </w:rPr>
            </w:pPr>
            <w:r w:rsidRPr="005A22D2">
              <w:rPr>
                <w:rStyle w:val="Strong"/>
                <w:b w:val="0"/>
                <w:bCs w:val="0"/>
                <w:sz w:val="20"/>
                <w:szCs w:val="20"/>
              </w:rPr>
              <w:t>Varies</w:t>
            </w:r>
            <w:r w:rsidRPr="005A22D2">
              <w:rPr>
                <w:sz w:val="20"/>
                <w:szCs w:val="20"/>
              </w:rPr>
              <w:t xml:space="preserve"> ($300 – $600 return from major Australian cities)</w:t>
            </w:r>
          </w:p>
        </w:tc>
        <w:tc>
          <w:tcPr>
            <w:tcW w:w="3486" w:type="dxa"/>
          </w:tcPr>
          <w:p w14:paraId="615331E2" w14:textId="56D81837" w:rsidR="003B5B2C" w:rsidRPr="005A22D2" w:rsidRDefault="00C37FB0" w:rsidP="003B5B2C">
            <w:pPr>
              <w:rPr>
                <w:rFonts w:cstheme="minorHAnsi"/>
                <w:sz w:val="20"/>
                <w:szCs w:val="20"/>
              </w:rPr>
            </w:pPr>
            <w:r w:rsidRPr="005A22D2">
              <w:rPr>
                <w:sz w:val="20"/>
                <w:szCs w:val="20"/>
              </w:rPr>
              <w:t>Estimate based on current flight prices to Hobart.</w:t>
            </w:r>
          </w:p>
        </w:tc>
      </w:tr>
      <w:tr w:rsidR="003B5B2C" w14:paraId="595244D9" w14:textId="77777777" w:rsidTr="76702886">
        <w:tc>
          <w:tcPr>
            <w:tcW w:w="3485" w:type="dxa"/>
          </w:tcPr>
          <w:p w14:paraId="506A10DC" w14:textId="2820AB2C" w:rsidR="003B5B2C" w:rsidRPr="005A22D2" w:rsidRDefault="00C37FB0" w:rsidP="003B5B2C">
            <w:pPr>
              <w:rPr>
                <w:rFonts w:cstheme="minorHAnsi"/>
                <w:sz w:val="20"/>
                <w:szCs w:val="20"/>
              </w:rPr>
            </w:pPr>
            <w:r w:rsidRPr="005A22D2">
              <w:rPr>
                <w:rFonts w:cstheme="minorHAnsi"/>
                <w:sz w:val="20"/>
                <w:szCs w:val="20"/>
              </w:rPr>
              <w:t>Accommodation</w:t>
            </w:r>
          </w:p>
        </w:tc>
        <w:tc>
          <w:tcPr>
            <w:tcW w:w="3485" w:type="dxa"/>
          </w:tcPr>
          <w:p w14:paraId="10159793" w14:textId="38F7A835" w:rsidR="003B5B2C" w:rsidRPr="005A22D2" w:rsidRDefault="005A22D2" w:rsidP="76702886">
            <w:pPr>
              <w:rPr>
                <w:sz w:val="20"/>
                <w:szCs w:val="20"/>
              </w:rPr>
            </w:pPr>
            <w:r w:rsidRPr="76702886">
              <w:rPr>
                <w:rStyle w:val="Strong"/>
                <w:b w:val="0"/>
                <w:bCs w:val="0"/>
                <w:sz w:val="20"/>
                <w:szCs w:val="20"/>
              </w:rPr>
              <w:t xml:space="preserve">Discounted hotel rates available: </w:t>
            </w:r>
            <w:hyperlink r:id="rId10">
              <w:r w:rsidRPr="76702886">
                <w:rPr>
                  <w:rStyle w:val="Hyperlink"/>
                  <w:sz w:val="20"/>
                  <w:szCs w:val="20"/>
                </w:rPr>
                <w:t>https://parksleisure.com.au/2025-national-conference-venue-accommodation/</w:t>
              </w:r>
            </w:hyperlink>
          </w:p>
        </w:tc>
        <w:tc>
          <w:tcPr>
            <w:tcW w:w="3486" w:type="dxa"/>
          </w:tcPr>
          <w:p w14:paraId="2764991A" w14:textId="59BEBBFB" w:rsidR="003B5B2C" w:rsidRPr="005A22D2" w:rsidRDefault="00C37FB0" w:rsidP="003B5B2C">
            <w:pPr>
              <w:rPr>
                <w:rFonts w:cstheme="minorHAnsi"/>
                <w:sz w:val="20"/>
                <w:szCs w:val="20"/>
              </w:rPr>
            </w:pPr>
            <w:r w:rsidRPr="005A22D2">
              <w:rPr>
                <w:sz w:val="20"/>
                <w:szCs w:val="20"/>
              </w:rPr>
              <w:t>PLA has negotiated discounts at select hotels; see accommodation info</w:t>
            </w:r>
          </w:p>
        </w:tc>
      </w:tr>
      <w:tr w:rsidR="003B5B2C" w14:paraId="5CA72F48" w14:textId="77777777" w:rsidTr="76702886">
        <w:tc>
          <w:tcPr>
            <w:tcW w:w="3485" w:type="dxa"/>
          </w:tcPr>
          <w:p w14:paraId="442820D5" w14:textId="52526BBF" w:rsidR="003B5B2C" w:rsidRPr="005A22D2" w:rsidRDefault="00C37FB0" w:rsidP="003B5B2C">
            <w:pPr>
              <w:rPr>
                <w:rFonts w:cstheme="minorHAnsi"/>
                <w:sz w:val="20"/>
                <w:szCs w:val="20"/>
              </w:rPr>
            </w:pPr>
            <w:r w:rsidRPr="005A22D2">
              <w:rPr>
                <w:rFonts w:cstheme="minorHAnsi"/>
                <w:sz w:val="20"/>
                <w:szCs w:val="20"/>
              </w:rPr>
              <w:t>Local Transportation</w:t>
            </w:r>
          </w:p>
        </w:tc>
        <w:tc>
          <w:tcPr>
            <w:tcW w:w="3485" w:type="dxa"/>
          </w:tcPr>
          <w:p w14:paraId="528069B6" w14:textId="5ADB3E25" w:rsidR="003B5B2C" w:rsidRPr="005A22D2" w:rsidRDefault="005A22D2" w:rsidP="003B5B2C">
            <w:pPr>
              <w:rPr>
                <w:rFonts w:cstheme="minorHAnsi"/>
                <w:sz w:val="20"/>
                <w:szCs w:val="20"/>
              </w:rPr>
            </w:pPr>
            <w:r w:rsidRPr="005A22D2">
              <w:rPr>
                <w:sz w:val="20"/>
                <w:szCs w:val="20"/>
              </w:rPr>
              <w:t>Approximately $100 – $200</w:t>
            </w:r>
          </w:p>
        </w:tc>
        <w:tc>
          <w:tcPr>
            <w:tcW w:w="3486" w:type="dxa"/>
          </w:tcPr>
          <w:p w14:paraId="23645F42" w14:textId="77941999" w:rsidR="003B5B2C" w:rsidRPr="005A22D2" w:rsidRDefault="00C37FB0" w:rsidP="003B5B2C">
            <w:pPr>
              <w:rPr>
                <w:rFonts w:cstheme="minorHAnsi"/>
                <w:sz w:val="20"/>
                <w:szCs w:val="20"/>
              </w:rPr>
            </w:pPr>
            <w:r w:rsidRPr="005A22D2">
              <w:rPr>
                <w:sz w:val="20"/>
                <w:szCs w:val="20"/>
              </w:rPr>
              <w:t>Includes airport transfers and daily commuting expenses.</w:t>
            </w:r>
          </w:p>
        </w:tc>
      </w:tr>
      <w:tr w:rsidR="003B5B2C" w14:paraId="1B8F73FC" w14:textId="77777777" w:rsidTr="76702886">
        <w:tc>
          <w:tcPr>
            <w:tcW w:w="3485" w:type="dxa"/>
          </w:tcPr>
          <w:p w14:paraId="14CDC1DD" w14:textId="226E7B93" w:rsidR="003B5B2C" w:rsidRPr="005A22D2" w:rsidRDefault="00C37FB0" w:rsidP="003B5B2C">
            <w:pPr>
              <w:rPr>
                <w:rFonts w:cstheme="minorHAnsi"/>
                <w:sz w:val="20"/>
                <w:szCs w:val="20"/>
              </w:rPr>
            </w:pPr>
            <w:r w:rsidRPr="005A22D2">
              <w:rPr>
                <w:rFonts w:cstheme="minorHAnsi"/>
                <w:sz w:val="20"/>
                <w:szCs w:val="20"/>
              </w:rPr>
              <w:t>Meals</w:t>
            </w:r>
          </w:p>
        </w:tc>
        <w:tc>
          <w:tcPr>
            <w:tcW w:w="3485" w:type="dxa"/>
          </w:tcPr>
          <w:p w14:paraId="3492F38F" w14:textId="77777777" w:rsidR="003B5B2C" w:rsidRPr="005A22D2" w:rsidRDefault="003B5B2C" w:rsidP="003B5B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6" w:type="dxa"/>
          </w:tcPr>
          <w:p w14:paraId="0496783D" w14:textId="4EF99E27" w:rsidR="003B5B2C" w:rsidRPr="005A22D2" w:rsidRDefault="002B312F" w:rsidP="003B5B2C">
            <w:pPr>
              <w:rPr>
                <w:rFonts w:cstheme="minorHAnsi"/>
                <w:sz w:val="20"/>
                <w:szCs w:val="20"/>
              </w:rPr>
            </w:pPr>
            <w:r w:rsidRPr="005A22D2">
              <w:rPr>
                <w:sz w:val="20"/>
                <w:szCs w:val="20"/>
              </w:rPr>
              <w:t>Consider per diem rates; some meals may be included in registration.</w:t>
            </w:r>
          </w:p>
        </w:tc>
      </w:tr>
      <w:tr w:rsidR="003B5B2C" w14:paraId="64A9D32C" w14:textId="77777777" w:rsidTr="76702886">
        <w:tc>
          <w:tcPr>
            <w:tcW w:w="3485" w:type="dxa"/>
          </w:tcPr>
          <w:p w14:paraId="69614A62" w14:textId="2A850B5A" w:rsidR="003B5B2C" w:rsidRPr="005A22D2" w:rsidRDefault="002B312F" w:rsidP="003B5B2C">
            <w:pPr>
              <w:rPr>
                <w:rFonts w:cstheme="minorHAnsi"/>
                <w:sz w:val="20"/>
                <w:szCs w:val="20"/>
              </w:rPr>
            </w:pPr>
            <w:r w:rsidRPr="005A22D2">
              <w:rPr>
                <w:sz w:val="20"/>
                <w:szCs w:val="20"/>
              </w:rPr>
              <w:t>Miscellaneous</w:t>
            </w:r>
          </w:p>
        </w:tc>
        <w:tc>
          <w:tcPr>
            <w:tcW w:w="3485" w:type="dxa"/>
          </w:tcPr>
          <w:p w14:paraId="546F8883" w14:textId="77777777" w:rsidR="003B5B2C" w:rsidRPr="005A22D2" w:rsidRDefault="003B5B2C" w:rsidP="003B5B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6" w:type="dxa"/>
          </w:tcPr>
          <w:p w14:paraId="55D4ED8B" w14:textId="5FE6F025" w:rsidR="003B5B2C" w:rsidRPr="005A22D2" w:rsidRDefault="002B312F" w:rsidP="003B5B2C">
            <w:pPr>
              <w:rPr>
                <w:rFonts w:cstheme="minorHAnsi"/>
                <w:sz w:val="20"/>
                <w:szCs w:val="20"/>
              </w:rPr>
            </w:pPr>
            <w:r w:rsidRPr="005A22D2">
              <w:rPr>
                <w:sz w:val="20"/>
                <w:szCs w:val="20"/>
              </w:rPr>
              <w:t>Additional expenses such as incidentals or optional activities.</w:t>
            </w:r>
          </w:p>
        </w:tc>
      </w:tr>
      <w:tr w:rsidR="003B5B2C" w14:paraId="5B289235" w14:textId="77777777" w:rsidTr="76702886">
        <w:tc>
          <w:tcPr>
            <w:tcW w:w="3485" w:type="dxa"/>
          </w:tcPr>
          <w:p w14:paraId="62172B7B" w14:textId="7ABE1C90" w:rsidR="003B5B2C" w:rsidRPr="005A22D2" w:rsidRDefault="002B312F" w:rsidP="003B5B2C">
            <w:pPr>
              <w:rPr>
                <w:rFonts w:cstheme="minorHAnsi"/>
                <w:sz w:val="20"/>
                <w:szCs w:val="20"/>
              </w:rPr>
            </w:pPr>
            <w:r w:rsidRPr="005A22D2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3485" w:type="dxa"/>
          </w:tcPr>
          <w:p w14:paraId="2DEBE820" w14:textId="77777777" w:rsidR="003B5B2C" w:rsidRPr="005A22D2" w:rsidRDefault="003B5B2C" w:rsidP="003B5B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6" w:type="dxa"/>
          </w:tcPr>
          <w:p w14:paraId="4E34D051" w14:textId="77777777" w:rsidR="003B5B2C" w:rsidRPr="005A22D2" w:rsidRDefault="003B5B2C" w:rsidP="003B5B2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B878210" w14:textId="6262ADF3" w:rsidR="00773395" w:rsidRDefault="00773395" w:rsidP="003B5B2C">
      <w:pPr>
        <w:rPr>
          <w:rFonts w:cstheme="minorHAnsi"/>
        </w:rPr>
      </w:pPr>
    </w:p>
    <w:p w14:paraId="04E1A8A2" w14:textId="7E87DE07" w:rsidR="00773395" w:rsidRDefault="00773395" w:rsidP="55066B2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7D9701E9" w14:textId="77777777" w:rsidR="00F3029F" w:rsidRDefault="00F3029F" w:rsidP="55066B2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709AEA9C" w14:textId="77777777" w:rsidR="00F3029F" w:rsidRDefault="00F3029F" w:rsidP="55066B2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3BE39EBB" w14:textId="77777777" w:rsidR="00F3029F" w:rsidRDefault="00F3029F" w:rsidP="55066B2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525CEDFB" w14:textId="0F98CC3D" w:rsidR="00773395" w:rsidRPr="00773395" w:rsidRDefault="00773395" w:rsidP="00773395">
      <w:pPr>
        <w:spacing w:before="100" w:beforeAutospacing="1" w:after="100" w:afterAutospacing="1"/>
        <w:outlineLvl w:val="2"/>
        <w:rPr>
          <w:rFonts w:ascii="Poppins" w:eastAsia="Times New Roman" w:hAnsi="Poppins" w:cs="Poppins"/>
          <w:color w:val="84319B"/>
          <w:kern w:val="0"/>
          <w:sz w:val="21"/>
          <w:szCs w:val="21"/>
          <w:lang w:eastAsia="en-GB"/>
          <w14:ligatures w14:val="none"/>
        </w:rPr>
      </w:pPr>
      <w:r w:rsidRPr="00773395">
        <w:rPr>
          <w:rFonts w:ascii="Poppins" w:eastAsia="Times New Roman" w:hAnsi="Poppins" w:cs="Poppins"/>
          <w:color w:val="84319B"/>
          <w:kern w:val="0"/>
          <w:sz w:val="21"/>
          <w:szCs w:val="21"/>
          <w:lang w:eastAsia="en-GB"/>
          <w14:ligatures w14:val="none"/>
        </w:rPr>
        <w:lastRenderedPageBreak/>
        <w:t>Sample Justification Letter</w:t>
      </w:r>
    </w:p>
    <w:p w14:paraId="668E0EB8" w14:textId="77777777" w:rsidR="00876DDE" w:rsidRPr="00773395" w:rsidRDefault="00876DDE" w:rsidP="00876DDE">
      <w:p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Customi</w:t>
      </w:r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s</w:t>
      </w: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e the following letter </w:t>
      </w:r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for use to</w:t>
      </w: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seek approval from your supervisor or </w:t>
      </w:r>
      <w:proofErr w:type="gramStart"/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employer</w:t>
      </w:r>
      <w:proofErr w:type="gramEnd"/>
    </w:p>
    <w:p w14:paraId="14CAD308" w14:textId="77777777" w:rsidR="00773395" w:rsidRPr="00773395" w:rsidRDefault="00773395" w:rsidP="00773395">
      <w:p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[Date]</w:t>
      </w:r>
    </w:p>
    <w:p w14:paraId="440EA7FB" w14:textId="4799B1A6" w:rsidR="00773395" w:rsidRPr="00773395" w:rsidRDefault="00773395" w:rsidP="00773395">
      <w:p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[Supervisor's Name]</w:t>
      </w:r>
    </w:p>
    <w:p w14:paraId="014F2C5E" w14:textId="44A5EAD0" w:rsidR="00773395" w:rsidRPr="00773395" w:rsidRDefault="00773395" w:rsidP="00773395">
      <w:p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[Title]</w:t>
      </w:r>
    </w:p>
    <w:p w14:paraId="5565C001" w14:textId="48235009" w:rsidR="00773395" w:rsidRPr="00773395" w:rsidRDefault="00773395" w:rsidP="00773395">
      <w:p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[Organi</w:t>
      </w:r>
      <w:r w:rsidR="00876DDE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s</w:t>
      </w: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ation Name]</w:t>
      </w:r>
      <w:r w:rsidR="00B60989"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</w:t>
      </w:r>
    </w:p>
    <w:p w14:paraId="3B83C67F" w14:textId="47D9831A" w:rsidR="00773395" w:rsidRPr="00773395" w:rsidRDefault="00773395" w:rsidP="00773395">
      <w:p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[Address]</w:t>
      </w:r>
      <w:r w:rsidR="00B60989"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</w:t>
      </w:r>
    </w:p>
    <w:p w14:paraId="4962DD2A" w14:textId="771B8058" w:rsidR="00773395" w:rsidRPr="00773395" w:rsidRDefault="00773395" w:rsidP="00773395">
      <w:p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[City, State, Postcode]</w:t>
      </w:r>
    </w:p>
    <w:p w14:paraId="70CB64BA" w14:textId="77777777" w:rsidR="00773395" w:rsidRPr="00773395" w:rsidRDefault="00773395" w:rsidP="00773395">
      <w:p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Dear [Supervisor's Name],</w:t>
      </w:r>
    </w:p>
    <w:p w14:paraId="0C63179A" w14:textId="77777777" w:rsidR="00946828" w:rsidRPr="00BB5690" w:rsidRDefault="00946828" w:rsidP="00946828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I am writing to request approval to attend the 2025 Parks and Leisure Australia (PLA) National Conference, scheduled for 9–12 November in Hobart, Tasmania. As a [Your Position] at [Your Organi</w:t>
      </w:r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s</w:t>
      </w: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ation], </w:t>
      </w:r>
      <w:r w:rsidRPr="00BB5690">
        <w:rPr>
          <w:rFonts w:ascii="Calibri" w:hAnsi="Calibri" w:cs="Calibri"/>
          <w:color w:val="000000"/>
          <w:sz w:val="20"/>
          <w:szCs w:val="20"/>
        </w:rPr>
        <w:t>I believe attending this conference will provide valuable insights and opportunities that align with my professional goals, our department</w:t>
      </w:r>
      <w:r w:rsidRPr="00BB5690">
        <w:rPr>
          <w:rFonts w:ascii="Calibri" w:hAnsi="Calibri" w:cs="Calibri" w:hint="eastAsia"/>
          <w:color w:val="000000"/>
          <w:sz w:val="20"/>
          <w:szCs w:val="20"/>
        </w:rPr>
        <w:t>’</w:t>
      </w:r>
      <w:r w:rsidRPr="00BB5690">
        <w:rPr>
          <w:rFonts w:ascii="Calibri" w:hAnsi="Calibri" w:cs="Calibri"/>
          <w:color w:val="000000"/>
          <w:sz w:val="20"/>
          <w:szCs w:val="20"/>
        </w:rPr>
        <w:t xml:space="preserve">s priorities, and the broader objectives of our organisation. </w:t>
      </w:r>
    </w:p>
    <w:p w14:paraId="5F1BBF3E" w14:textId="68A204EE" w:rsidR="00773395" w:rsidRPr="00773395" w:rsidRDefault="00773395" w:rsidP="00773395">
      <w:p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The conference offers:</w:t>
      </w:r>
    </w:p>
    <w:p w14:paraId="462A81CF" w14:textId="77777777" w:rsidR="00946828" w:rsidRPr="00773395" w:rsidRDefault="00946828" w:rsidP="0094682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Professional Development:</w:t>
      </w: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Access to a range of sessions led by industry experts, enhancing my skills and knowledge.</w:t>
      </w:r>
    </w:p>
    <w:p w14:paraId="67C2B61E" w14:textId="77777777" w:rsidR="00946828" w:rsidRPr="00773395" w:rsidRDefault="00946828" w:rsidP="0094682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Networking Opportunities:</w:t>
      </w: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The chance to connect with professionals and organi</w:t>
      </w:r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s</w:t>
      </w: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ations, fostering potential collaborations.</w:t>
      </w:r>
    </w:p>
    <w:p w14:paraId="33D18786" w14:textId="01CCD4C4" w:rsidR="00946828" w:rsidRPr="00773395" w:rsidRDefault="00946828" w:rsidP="0094682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Innovative Solutions:</w:t>
      </w: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Exposure to the latest trends and technologies that can be applied to our operations.</w:t>
      </w:r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With the opportunity to ask questions and bring solutions back to the workplace</w:t>
      </w:r>
    </w:p>
    <w:p w14:paraId="0848E55E" w14:textId="77777777" w:rsidR="00946828" w:rsidRDefault="00946828" w:rsidP="0094682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Community Impact:</w:t>
      </w: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Strategies to improve our services and better meet the needs of our community.</w:t>
      </w:r>
    </w:p>
    <w:p w14:paraId="6F93F7C6" w14:textId="77777777" w:rsidR="00946828" w:rsidRPr="00773395" w:rsidRDefault="00946828" w:rsidP="0094682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Sharing outcomes:</w:t>
      </w:r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The ability to share my learnings with other members of my </w:t>
      </w:r>
      <w:proofErr w:type="gramStart"/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team</w:t>
      </w:r>
      <w:proofErr w:type="gramEnd"/>
    </w:p>
    <w:p w14:paraId="10D8BFFA" w14:textId="77777777" w:rsidR="00773395" w:rsidRPr="00773395" w:rsidRDefault="00773395" w:rsidP="00773395">
      <w:p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I have estimated the total cost of attendance to be approximately $XXX, covering registration, travel, accommodation, and other expenses.</w:t>
      </w:r>
    </w:p>
    <w:p w14:paraId="3BB2311B" w14:textId="0225D306" w:rsidR="00946828" w:rsidRPr="00773395" w:rsidRDefault="00946828" w:rsidP="00946828">
      <w:p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Attending this conference will not only contribute to my professional growth but also</w:t>
      </w:r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enable me to</w:t>
      </w: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bring back valuable knowledge</w:t>
      </w:r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, ideas</w:t>
      </w: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and connections </w:t>
      </w:r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which will be valuable to the </w:t>
      </w:r>
      <w:proofErr w:type="spellStart"/>
      <w:proofErr w:type="gramStart"/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on going</w:t>
      </w:r>
      <w:proofErr w:type="spellEnd"/>
      <w:proofErr w:type="gramEnd"/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growth of our </w:t>
      </w: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organi</w:t>
      </w:r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s</w:t>
      </w: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ation</w:t>
      </w:r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and the community we serve</w:t>
      </w: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.</w:t>
      </w:r>
    </w:p>
    <w:p w14:paraId="3261C461" w14:textId="77777777" w:rsidR="00773395" w:rsidRPr="00773395" w:rsidRDefault="00773395" w:rsidP="00773395">
      <w:p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Thank you for considering my request.</w:t>
      </w:r>
    </w:p>
    <w:p w14:paraId="6BB79E1E" w14:textId="5F269709" w:rsidR="00773395" w:rsidRPr="00773395" w:rsidRDefault="00773395" w:rsidP="00773395">
      <w:p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Sincerely,</w:t>
      </w:r>
    </w:p>
    <w:p w14:paraId="7E39DFC7" w14:textId="0C794A69" w:rsidR="00773395" w:rsidRPr="00773395" w:rsidRDefault="00773395" w:rsidP="00773395">
      <w:p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[Your Name]</w:t>
      </w:r>
    </w:p>
    <w:p w14:paraId="0D4AD14D" w14:textId="5A3B6B83" w:rsidR="00773395" w:rsidRPr="00773395" w:rsidRDefault="004759FD" w:rsidP="00773395">
      <w:pP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theme="minorHAnsi"/>
          <w:noProof/>
          <w:kern w:val="0"/>
          <w:sz w:val="20"/>
          <w:szCs w:val="20"/>
          <w:lang w:eastAsia="en-GB"/>
        </w:rPr>
        <w:pict w14:anchorId="06E67681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A4C4221" w14:textId="3DD153A4" w:rsidR="00773395" w:rsidRPr="00773395" w:rsidRDefault="00773395" w:rsidP="00773395">
      <w:pPr>
        <w:spacing w:before="100" w:beforeAutospacing="1" w:after="100" w:afterAutospacing="1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7339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For more details and to register, visit the official conference page:</w:t>
      </w:r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</w:t>
      </w:r>
      <w:hyperlink r:id="rId11" w:history="1">
        <w:r w:rsidRPr="001F61E2">
          <w:rPr>
            <w:rStyle w:val="Hyperlink"/>
            <w:rFonts w:eastAsia="Times New Roman" w:cstheme="minorHAnsi"/>
            <w:kern w:val="0"/>
            <w:sz w:val="20"/>
            <w:szCs w:val="20"/>
            <w:lang w:eastAsia="en-GB"/>
            <w14:ligatures w14:val="none"/>
          </w:rPr>
          <w:t>https://parksleisure.com.au/event/2025-pla-national-conference/</w:t>
        </w:r>
      </w:hyperlink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</w:t>
      </w:r>
    </w:p>
    <w:p w14:paraId="6643207F" w14:textId="56829A57" w:rsidR="00332FD6" w:rsidRPr="003B5B2C" w:rsidRDefault="00332FD6" w:rsidP="003B5B2C">
      <w:pPr>
        <w:rPr>
          <w:rFonts w:cstheme="minorHAnsi"/>
        </w:rPr>
      </w:pPr>
    </w:p>
    <w:sectPr w:rsidR="00332FD6" w:rsidRPr="003B5B2C" w:rsidSect="004B0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06768"/>
    <w:multiLevelType w:val="multilevel"/>
    <w:tmpl w:val="9960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A6189"/>
    <w:multiLevelType w:val="multilevel"/>
    <w:tmpl w:val="405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55353F"/>
    <w:multiLevelType w:val="hybridMultilevel"/>
    <w:tmpl w:val="9226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310339">
    <w:abstractNumId w:val="1"/>
  </w:num>
  <w:num w:numId="2" w16cid:durableId="1807232916">
    <w:abstractNumId w:val="2"/>
  </w:num>
  <w:num w:numId="3" w16cid:durableId="115267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34"/>
    <w:rsid w:val="000A7234"/>
    <w:rsid w:val="001B6DD6"/>
    <w:rsid w:val="002B312F"/>
    <w:rsid w:val="00332FD6"/>
    <w:rsid w:val="003B5B2C"/>
    <w:rsid w:val="003E3CC0"/>
    <w:rsid w:val="004759FD"/>
    <w:rsid w:val="004B007B"/>
    <w:rsid w:val="00513A45"/>
    <w:rsid w:val="005A22D2"/>
    <w:rsid w:val="00773395"/>
    <w:rsid w:val="00876DDE"/>
    <w:rsid w:val="00946828"/>
    <w:rsid w:val="00A178E9"/>
    <w:rsid w:val="00AE6ED3"/>
    <w:rsid w:val="00B60989"/>
    <w:rsid w:val="00BB710E"/>
    <w:rsid w:val="00C37FB0"/>
    <w:rsid w:val="00D2164C"/>
    <w:rsid w:val="00D90BDD"/>
    <w:rsid w:val="00E9024B"/>
    <w:rsid w:val="00EC6D48"/>
    <w:rsid w:val="00F3029F"/>
    <w:rsid w:val="55066B2C"/>
    <w:rsid w:val="56A45B08"/>
    <w:rsid w:val="7670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E661"/>
  <w15:chartTrackingRefBased/>
  <w15:docId w15:val="{463FA009-85E2-0942-8380-13532323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024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4B007B"/>
  </w:style>
  <w:style w:type="paragraph" w:styleId="NormalWeb">
    <w:name w:val="Normal (Web)"/>
    <w:basedOn w:val="Normal"/>
    <w:uiPriority w:val="99"/>
    <w:unhideWhenUsed/>
    <w:rsid w:val="004B00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ms-1">
    <w:name w:val="ms-1"/>
    <w:basedOn w:val="DefaultParagraphFont"/>
    <w:rsid w:val="004B007B"/>
  </w:style>
  <w:style w:type="character" w:customStyle="1" w:styleId="max-w-full">
    <w:name w:val="max-w-full"/>
    <w:basedOn w:val="DefaultParagraphFont"/>
    <w:rsid w:val="004B007B"/>
  </w:style>
  <w:style w:type="character" w:styleId="Strong">
    <w:name w:val="Strong"/>
    <w:basedOn w:val="DefaultParagraphFont"/>
    <w:uiPriority w:val="22"/>
    <w:qFormat/>
    <w:rsid w:val="004B007B"/>
    <w:rPr>
      <w:b/>
      <w:bCs/>
    </w:rPr>
  </w:style>
  <w:style w:type="character" w:customStyle="1" w:styleId="-me-1">
    <w:name w:val="-me-1"/>
    <w:basedOn w:val="DefaultParagraphFont"/>
    <w:rsid w:val="004B007B"/>
  </w:style>
  <w:style w:type="character" w:customStyle="1" w:styleId="Heading3Char">
    <w:name w:val="Heading 3 Char"/>
    <w:basedOn w:val="DefaultParagraphFont"/>
    <w:link w:val="Heading3"/>
    <w:uiPriority w:val="9"/>
    <w:rsid w:val="00E9024B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9024B"/>
    <w:pPr>
      <w:ind w:left="720"/>
      <w:contextualSpacing/>
    </w:pPr>
  </w:style>
  <w:style w:type="table" w:styleId="TableGrid">
    <w:name w:val="Table Grid"/>
    <w:basedOn w:val="TableNormal"/>
    <w:uiPriority w:val="39"/>
    <w:rsid w:val="003B5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33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rksleisure.com.au/event/2025-pla-national-conferenc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parksleisure.com.au/2025-national-conference-venue-accommodatio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arksleisure.com.au/event/2025-pla-national-confer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983F4253635469074E1F46EA96BBE" ma:contentTypeVersion="16" ma:contentTypeDescription="Create a new document." ma:contentTypeScope="" ma:versionID="4b1838739d9d29543b2b4ca849afdc00">
  <xsd:schema xmlns:xsd="http://www.w3.org/2001/XMLSchema" xmlns:xs="http://www.w3.org/2001/XMLSchema" xmlns:p="http://schemas.microsoft.com/office/2006/metadata/properties" xmlns:ns2="b1aa50b7-ef52-4284-8398-e0b9d6e1dba3" xmlns:ns3="f40ccf9c-1e0f-4e53-a176-38ce94a9d1da" targetNamespace="http://schemas.microsoft.com/office/2006/metadata/properties" ma:root="true" ma:fieldsID="465749f6038a1d78f5aeebd656b965b0" ns2:_="" ns3:_="">
    <xsd:import namespace="b1aa50b7-ef52-4284-8398-e0b9d6e1dba3"/>
    <xsd:import namespace="f40ccf9c-1e0f-4e53-a176-38ce94a9d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a50b7-ef52-4284-8398-e0b9d6e1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edbb05-8e99-4279-ad51-40bc87d80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ccf9c-1e0f-4e53-a176-38ce94a9d1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437bbb-81c0-4aaf-b964-cf6157f7e78a}" ma:internalName="TaxCatchAll" ma:showField="CatchAllData" ma:web="f40ccf9c-1e0f-4e53-a176-38ce94a9d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0ccf9c-1e0f-4e53-a176-38ce94a9d1da" xsi:nil="true"/>
    <lcf76f155ced4ddcb4097134ff3c332f xmlns="b1aa50b7-ef52-4284-8398-e0b9d6e1db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DA9E8-2D62-48FE-A5D0-15784CE2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a50b7-ef52-4284-8398-e0b9d6e1dba3"/>
    <ds:schemaRef ds:uri="f40ccf9c-1e0f-4e53-a176-38ce94a9d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803AF-31A2-4D4F-8034-0268CCABEFAE}">
  <ds:schemaRefs>
    <ds:schemaRef ds:uri="http://schemas.microsoft.com/office/2006/metadata/properties"/>
    <ds:schemaRef ds:uri="http://schemas.microsoft.com/office/infopath/2007/PartnerControls"/>
    <ds:schemaRef ds:uri="f40ccf9c-1e0f-4e53-a176-38ce94a9d1da"/>
    <ds:schemaRef ds:uri="b1aa50b7-ef52-4284-8398-e0b9d6e1dba3"/>
  </ds:schemaRefs>
</ds:datastoreItem>
</file>

<file path=customXml/itemProps3.xml><?xml version="1.0" encoding="utf-8"?>
<ds:datastoreItem xmlns:ds="http://schemas.openxmlformats.org/officeDocument/2006/customXml" ds:itemID="{057C0F1A-6641-4D8A-9F6D-D7FF92DFCC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17</cp:revision>
  <dcterms:created xsi:type="dcterms:W3CDTF">2025-07-08T03:41:00Z</dcterms:created>
  <dcterms:modified xsi:type="dcterms:W3CDTF">2025-08-18T02:10:00Z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0x010100494983F4253635469074E1F46EA96BBE</vt:lpwstr>
  </property>
  <property fmtid="{D5CDD505-2E9C-101B-9397-08002B2CF9AE}" pid="3" name="MediaServiceImageTags">
    <vt:lpwstr/>
  </property>
</Properties>
</file>